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447A" w:rsidRDefault="009028DE" w:rsidP="009028DE">
      <w:pPr>
        <w:jc w:val="center"/>
        <w:rPr>
          <w:rFonts w:ascii="Impact" w:hAnsi="Impact"/>
          <w:color w:val="FF0000"/>
          <w:sz w:val="44"/>
          <w:szCs w:val="44"/>
        </w:rPr>
      </w:pPr>
      <w:r w:rsidRPr="009028DE">
        <w:rPr>
          <w:rFonts w:ascii="Impact" w:hAnsi="Impact"/>
          <w:color w:val="FF0000"/>
          <w:sz w:val="44"/>
          <w:szCs w:val="44"/>
        </w:rPr>
        <w:t>H.D.A</w:t>
      </w:r>
    </w:p>
    <w:p w:rsidR="009028DE" w:rsidRDefault="009028DE" w:rsidP="009028DE">
      <w:pPr>
        <w:rPr>
          <w:rFonts w:ascii="Impact" w:hAnsi="Impact"/>
          <w:color w:val="FF0000"/>
          <w:sz w:val="44"/>
          <w:szCs w:val="44"/>
        </w:rPr>
      </w:pPr>
    </w:p>
    <w:p w:rsidR="009028DE" w:rsidRDefault="009028DE" w:rsidP="009028DE">
      <w:pPr>
        <w:rPr>
          <w:rFonts w:cstheme="minorHAnsi"/>
          <w:sz w:val="32"/>
          <w:szCs w:val="32"/>
          <w:u w:val="single"/>
        </w:rPr>
      </w:pPr>
      <w:r>
        <w:rPr>
          <w:rFonts w:cstheme="minorHAnsi"/>
          <w:sz w:val="32"/>
          <w:szCs w:val="32"/>
          <w:u w:val="single"/>
        </w:rPr>
        <w:t>Torse de Mil</w:t>
      </w:r>
      <w:r w:rsidRPr="009028DE">
        <w:rPr>
          <w:rFonts w:cstheme="minorHAnsi"/>
          <w:sz w:val="32"/>
          <w:szCs w:val="32"/>
          <w:u w:val="single"/>
        </w:rPr>
        <w:t>let :</w:t>
      </w:r>
    </w:p>
    <w:p w:rsidR="000031B4" w:rsidRDefault="000031B4" w:rsidP="000031B4">
      <w:pPr>
        <w:jc w:val="both"/>
        <w:rPr>
          <w:rFonts w:cstheme="minorHAnsi"/>
          <w:sz w:val="32"/>
          <w:szCs w:val="32"/>
        </w:rPr>
      </w:pPr>
      <w:r w:rsidRPr="000031B4">
        <w:rPr>
          <w:rFonts w:cstheme="minorHAnsi"/>
          <w:sz w:val="32"/>
          <w:szCs w:val="32"/>
        </w:rPr>
        <w:t>Ce corps</w:t>
      </w:r>
      <w:r>
        <w:rPr>
          <w:rFonts w:cstheme="minorHAnsi"/>
          <w:sz w:val="32"/>
          <w:szCs w:val="32"/>
        </w:rPr>
        <w:t xml:space="preserve"> puissant serait un témoin datable de la plus grande révolution de la sculpture mondiale. Cet artifice artistique transforme l’immobilité figée des statues représentées debout en un mouvement variable à l’infini qui confère toute sa vie à l’art européen. Les archéologues ont toutefois sapé l</w:t>
      </w:r>
      <w:r w:rsidR="00AC633C">
        <w:rPr>
          <w:rFonts w:cstheme="minorHAnsi"/>
          <w:sz w:val="32"/>
          <w:szCs w:val="32"/>
        </w:rPr>
        <w:t>a belle assurance qui octroyait à l’œuvre ce rôle phare : on sait en fait seulement que la statue a déjà été endommagée dans l’Antiquité.</w:t>
      </w:r>
    </w:p>
    <w:p w:rsidR="00AC633C" w:rsidRDefault="00AC633C" w:rsidP="000031B4">
      <w:pPr>
        <w:jc w:val="both"/>
        <w:rPr>
          <w:rFonts w:cstheme="minorHAnsi"/>
          <w:sz w:val="32"/>
          <w:szCs w:val="32"/>
        </w:rPr>
      </w:pPr>
    </w:p>
    <w:p w:rsidR="00AC633C" w:rsidRDefault="00AC633C" w:rsidP="000031B4">
      <w:pPr>
        <w:jc w:val="both"/>
        <w:rPr>
          <w:rFonts w:cstheme="minorHAnsi"/>
          <w:sz w:val="32"/>
          <w:szCs w:val="32"/>
          <w:u w:val="single"/>
        </w:rPr>
      </w:pPr>
      <w:r>
        <w:rPr>
          <w:rFonts w:cstheme="minorHAnsi"/>
          <w:sz w:val="32"/>
          <w:szCs w:val="32"/>
          <w:u w:val="single"/>
        </w:rPr>
        <w:t>Nudité- Classique :</w:t>
      </w:r>
    </w:p>
    <w:p w:rsidR="00AC633C" w:rsidRPr="00AC633C" w:rsidRDefault="00AC633C" w:rsidP="000031B4">
      <w:pPr>
        <w:jc w:val="both"/>
        <w:rPr>
          <w:rFonts w:cstheme="minorHAnsi"/>
          <w:sz w:val="32"/>
          <w:szCs w:val="32"/>
        </w:rPr>
      </w:pPr>
      <w:r w:rsidRPr="00AC633C">
        <w:rPr>
          <w:rFonts w:cstheme="minorHAnsi"/>
          <w:sz w:val="32"/>
          <w:szCs w:val="32"/>
        </w:rPr>
        <w:t>Durant des</w:t>
      </w:r>
      <w:r>
        <w:rPr>
          <w:rFonts w:cstheme="minorHAnsi"/>
          <w:sz w:val="32"/>
          <w:szCs w:val="32"/>
        </w:rPr>
        <w:t xml:space="preserve"> siècles, la nudité n’a pas été sans susciter de réprobation</w:t>
      </w:r>
      <w:r w:rsidR="00B90A85">
        <w:rPr>
          <w:rFonts w:cstheme="minorHAnsi"/>
          <w:sz w:val="32"/>
          <w:szCs w:val="32"/>
        </w:rPr>
        <w:t>. Aux yeux de l’Eglise, elles symbolisaient l’immortalité païenne alors que, pour les humanistes, elles personnifiaient la pureté de l’homme qu’ils disaient être le propre de l’âge d’or. Ces deux visions n’ont en fait pas grand-chose à voir avec la sensibilité antique.</w:t>
      </w:r>
    </w:p>
    <w:p w:rsidR="009028DE" w:rsidRPr="009028DE" w:rsidRDefault="009028DE" w:rsidP="009028DE">
      <w:pPr>
        <w:rPr>
          <w:rFonts w:cstheme="minorHAnsi"/>
          <w:sz w:val="32"/>
          <w:szCs w:val="32"/>
          <w:u w:val="single"/>
        </w:rPr>
      </w:pPr>
    </w:p>
    <w:sectPr w:rsidR="009028DE" w:rsidRPr="009028DE" w:rsidSect="003B4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altName w:val="Calibri"/>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DE"/>
    <w:rsid w:val="000031B4"/>
    <w:rsid w:val="003B447A"/>
    <w:rsid w:val="0086055E"/>
    <w:rsid w:val="009028DE"/>
    <w:rsid w:val="00AC633C"/>
    <w:rsid w:val="00B90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81D58-FB6A-5245-B6DC-45E89890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699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elodie pinel</cp:lastModifiedBy>
  <cp:revision>2</cp:revision>
  <dcterms:created xsi:type="dcterms:W3CDTF">2020-05-06T17:58:00Z</dcterms:created>
  <dcterms:modified xsi:type="dcterms:W3CDTF">2020-05-06T17:58:00Z</dcterms:modified>
</cp:coreProperties>
</file>